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5DACA">
      <w:pPr>
        <w:spacing w:line="760" w:lineRule="exact"/>
        <w:jc w:val="both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：</w:t>
      </w:r>
    </w:p>
    <w:p w14:paraId="74FD16BA">
      <w:pPr>
        <w:spacing w:line="7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2025级七年级学生素质拓展训练活动</w:t>
      </w:r>
    </w:p>
    <w:p w14:paraId="0AF4CAF8">
      <w:pPr>
        <w:spacing w:line="7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招标现场</w:t>
      </w: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评分标准</w:t>
      </w:r>
    </w:p>
    <w:bookmarkEnd w:id="0"/>
    <w:tbl>
      <w:tblPr>
        <w:tblStyle w:val="4"/>
        <w:tblpPr w:leftFromText="180" w:rightFromText="180" w:vertAnchor="text" w:horzAnchor="page" w:tblpX="2227" w:tblpY="2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6240"/>
        <w:gridCol w:w="735"/>
      </w:tblGrid>
      <w:tr w14:paraId="676B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345" w:type="dxa"/>
          </w:tcPr>
          <w:p w14:paraId="6ADDDD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打分</w:t>
            </w:r>
          </w:p>
          <w:p w14:paraId="7303B5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维度</w:t>
            </w:r>
          </w:p>
        </w:tc>
        <w:tc>
          <w:tcPr>
            <w:tcW w:w="6240" w:type="dxa"/>
          </w:tcPr>
          <w:p w14:paraId="6A2449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参考标准</w:t>
            </w:r>
          </w:p>
        </w:tc>
        <w:tc>
          <w:tcPr>
            <w:tcW w:w="735" w:type="dxa"/>
          </w:tcPr>
          <w:p w14:paraId="2384A5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1D39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45" w:type="dxa"/>
            <w:vMerge w:val="restart"/>
          </w:tcPr>
          <w:p w14:paraId="0585D40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FB5CAE5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Style w:val="6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</w:rPr>
              <w:t>企业资质</w:t>
            </w:r>
          </w:p>
          <w:p w14:paraId="0D6A2F53">
            <w:pPr>
              <w:jc w:val="center"/>
              <w:rPr>
                <w:rFonts w:hint="eastAsia" w:eastAsia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（20分）</w:t>
            </w:r>
          </w:p>
        </w:tc>
        <w:tc>
          <w:tcPr>
            <w:tcW w:w="6240" w:type="dxa"/>
          </w:tcPr>
          <w:p w14:paraId="0A04C9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6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1.1营业执照等证件齐全（10分）</w:t>
            </w:r>
          </w:p>
        </w:tc>
        <w:tc>
          <w:tcPr>
            <w:tcW w:w="735" w:type="dxa"/>
          </w:tcPr>
          <w:p w14:paraId="5B404DFC"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 w14:paraId="0771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345" w:type="dxa"/>
            <w:vMerge w:val="continue"/>
          </w:tcPr>
          <w:p w14:paraId="4465FFA4">
            <w:pPr>
              <w:jc w:val="left"/>
            </w:pPr>
          </w:p>
        </w:tc>
        <w:tc>
          <w:tcPr>
            <w:tcW w:w="6240" w:type="dxa"/>
          </w:tcPr>
          <w:p w14:paraId="50442D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60" w:lineRule="atLeast"/>
              <w:ind w:left="0" w:right="0" w:hanging="36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1.2法定代表人身份证原件和复印件，有代理人参加投标的，需提供代理人的身份证原件、复印件和授权委托书（10分）</w:t>
            </w:r>
          </w:p>
        </w:tc>
        <w:tc>
          <w:tcPr>
            <w:tcW w:w="735" w:type="dxa"/>
          </w:tcPr>
          <w:p w14:paraId="1DCF48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60" w:lineRule="atLeast"/>
              <w:ind w:left="0" w:right="0" w:hanging="36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46C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45" w:type="dxa"/>
            <w:vMerge w:val="restart"/>
          </w:tcPr>
          <w:p w14:paraId="5ADB1F83">
            <w:pPr>
              <w:jc w:val="center"/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2.团队实力</w:t>
            </w:r>
          </w:p>
          <w:p w14:paraId="3E395CCE">
            <w:pPr>
              <w:jc w:val="center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（30分）</w:t>
            </w:r>
          </w:p>
        </w:tc>
        <w:tc>
          <w:tcPr>
            <w:tcW w:w="6240" w:type="dxa"/>
          </w:tcPr>
          <w:p w14:paraId="1BA468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60" w:lineRule="atLeast"/>
              <w:ind w:left="0" w:right="0" w:hanging="36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2.1管理人员的业务能力（15分）</w:t>
            </w:r>
          </w:p>
        </w:tc>
        <w:tc>
          <w:tcPr>
            <w:tcW w:w="735" w:type="dxa"/>
          </w:tcPr>
          <w:p w14:paraId="2DB18B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6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14E7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45" w:type="dxa"/>
            <w:vMerge w:val="continue"/>
          </w:tcPr>
          <w:p w14:paraId="3E3EB8FC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6240" w:type="dxa"/>
          </w:tcPr>
          <w:p w14:paraId="74BAE4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60" w:lineRule="atLeast"/>
              <w:ind w:left="0" w:right="0" w:hanging="36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2.2教官队伍专业化水平（15分）</w:t>
            </w:r>
          </w:p>
        </w:tc>
        <w:tc>
          <w:tcPr>
            <w:tcW w:w="735" w:type="dxa"/>
          </w:tcPr>
          <w:p w14:paraId="1A4AD9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6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59AF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45" w:type="dxa"/>
            <w:vMerge w:val="restart"/>
          </w:tcPr>
          <w:p w14:paraId="34289F3D">
            <w:pPr>
              <w:jc w:val="both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  <w:p w14:paraId="18A97773">
            <w:pPr>
              <w:jc w:val="center"/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3.服务方案</w:t>
            </w:r>
          </w:p>
          <w:p w14:paraId="4FCBA155">
            <w:pPr>
              <w:jc w:val="center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（15分）</w:t>
            </w:r>
          </w:p>
        </w:tc>
        <w:tc>
          <w:tcPr>
            <w:tcW w:w="6240" w:type="dxa"/>
          </w:tcPr>
          <w:p w14:paraId="1346A4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60" w:lineRule="atLeast"/>
              <w:ind w:left="0" w:right="0" w:hanging="36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3.1训练计划科学性（5分）</w:t>
            </w:r>
          </w:p>
        </w:tc>
        <w:tc>
          <w:tcPr>
            <w:tcW w:w="735" w:type="dxa"/>
          </w:tcPr>
          <w:p w14:paraId="4D7FD97A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D8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5" w:type="dxa"/>
            <w:vMerge w:val="continue"/>
          </w:tcPr>
          <w:p w14:paraId="46CD1C58">
            <w:pPr>
              <w:jc w:val="left"/>
            </w:pPr>
          </w:p>
        </w:tc>
        <w:tc>
          <w:tcPr>
            <w:tcW w:w="6240" w:type="dxa"/>
          </w:tcPr>
          <w:p w14:paraId="18AD28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60" w:lineRule="atLeast"/>
              <w:ind w:left="0" w:right="0" w:hanging="36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3.2安全保障措施完善性（5分）</w:t>
            </w:r>
          </w:p>
        </w:tc>
        <w:tc>
          <w:tcPr>
            <w:tcW w:w="735" w:type="dxa"/>
          </w:tcPr>
          <w:p w14:paraId="5C1EF866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52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5" w:type="dxa"/>
            <w:vMerge w:val="continue"/>
          </w:tcPr>
          <w:p w14:paraId="0104FDA8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40" w:type="dxa"/>
          </w:tcPr>
          <w:p w14:paraId="792AE3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60" w:lineRule="atLeast"/>
              <w:ind w:left="0" w:right="0" w:hanging="36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3.3应急预案可行性（5分）</w:t>
            </w:r>
          </w:p>
        </w:tc>
        <w:tc>
          <w:tcPr>
            <w:tcW w:w="735" w:type="dxa"/>
          </w:tcPr>
          <w:p w14:paraId="18C90438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E8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45" w:type="dxa"/>
            <w:vMerge w:val="restart"/>
          </w:tcPr>
          <w:p w14:paraId="14AEB3BD">
            <w:pPr>
              <w:jc w:val="center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4.业绩评价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（10分）</w:t>
            </w:r>
          </w:p>
        </w:tc>
        <w:tc>
          <w:tcPr>
            <w:tcW w:w="6240" w:type="dxa"/>
          </w:tcPr>
          <w:p w14:paraId="1B06B5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60" w:lineRule="atLeast"/>
              <w:ind w:left="0" w:right="0" w:hanging="36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4.1近两年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</w:rPr>
              <w:t>类似项目经验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（5分）</w:t>
            </w:r>
          </w:p>
        </w:tc>
        <w:tc>
          <w:tcPr>
            <w:tcW w:w="735" w:type="dxa"/>
          </w:tcPr>
          <w:p w14:paraId="0FEAD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74F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45" w:type="dxa"/>
            <w:vMerge w:val="continue"/>
          </w:tcPr>
          <w:p w14:paraId="390386F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240" w:type="dxa"/>
          </w:tcPr>
          <w:p w14:paraId="0FFF04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4.2近两年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</w:rPr>
              <w:t>客户评价良好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（5分）</w:t>
            </w:r>
          </w:p>
        </w:tc>
        <w:tc>
          <w:tcPr>
            <w:tcW w:w="735" w:type="dxa"/>
          </w:tcPr>
          <w:p w14:paraId="691C4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5C4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345" w:type="dxa"/>
          </w:tcPr>
          <w:p w14:paraId="2AF623D8">
            <w:pPr>
              <w:jc w:val="center"/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5.报价部分</w:t>
            </w:r>
          </w:p>
          <w:p w14:paraId="29BAFA9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（25分）</w:t>
            </w:r>
          </w:p>
        </w:tc>
        <w:tc>
          <w:tcPr>
            <w:tcW w:w="6240" w:type="dxa"/>
          </w:tcPr>
          <w:p w14:paraId="39D7BA6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60" w:lineRule="atLeast"/>
              <w:ind w:left="0" w:right="0" w:hanging="36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</w:rPr>
              <w:t>不超过预算金额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</w:rPr>
              <w:t>万元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</w:rPr>
              <w:t>价格合理，性价比高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eastAsia="zh-CN"/>
              </w:rPr>
              <w:t>。（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超出部分不足整数的四舍五入,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eastAsia="zh-CN"/>
              </w:rPr>
              <w:t>每超出预算金额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  <w:lang w:val="en-US" w:eastAsia="zh-CN"/>
              </w:rPr>
              <w:t>1万元扣除5分，扣完为止）</w:t>
            </w:r>
          </w:p>
        </w:tc>
        <w:tc>
          <w:tcPr>
            <w:tcW w:w="735" w:type="dxa"/>
          </w:tcPr>
          <w:p w14:paraId="221F854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60" w:lineRule="atLeast"/>
              <w:ind w:left="0" w:right="0" w:hanging="36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F1F1F"/>
                <w:spacing w:val="0"/>
                <w:sz w:val="21"/>
                <w:szCs w:val="21"/>
                <w:shd w:val="clear" w:fill="FFFFFF"/>
              </w:rPr>
            </w:pPr>
          </w:p>
        </w:tc>
      </w:tr>
    </w:tbl>
    <w:p w14:paraId="2BB06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说明：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总分1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分，按得分高低进行评标；若得分相同，则报价低者中标；若报价相同，则承办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素质拓展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活动次数多者中标。若因天气等自然不可抗力因素或政策因素造成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素质拓展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活动无法进行或延迟，学校不承担责任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p w14:paraId="781CEB4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8FEA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92760" cy="21717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9CA873C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7.1pt;width:38.8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ajdHs0gAAAAMBAAAPAAAAAAAAAAEAIAAAACIAAABkcnMvZG93bnJldi54&#10;bWxQSwECFAAUAAAACACHTuJA4l1bmAACAAASBAAADgAAAAAAAAABACAAAAAh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CA873C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5ADC3"/>
    <w:multiLevelType w:val="multilevel"/>
    <w:tmpl w:val="13A5AD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38EFB253"/>
    <w:multiLevelType w:val="multilevel"/>
    <w:tmpl w:val="38EFB2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843C7A0"/>
    <w:multiLevelType w:val="multilevel"/>
    <w:tmpl w:val="7843C7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4037"/>
    <w:rsid w:val="1734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2025-08-20T11:37:00Z</dcterms:created>
  <dc:creator>颜颜</dc:creator>
  <cp:lastModifiedBy>颜颜</cp:lastModifiedBy>
  <dcterms:modified xsi:type="dcterms:W3CDTF">2025-08-20T11:37:17Z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A4F35AE7504D46018A5F2C934DD4401C_11</vt:lpwstr>
  </property>
  <property fmtid="{D5CDD505-2E9C-101B-9397-08002B2CF9AE}" pid="4" name="KSOTemplateDocerSaveRecord">
    <vt:lpwstr>eyJoZGlkIjoiN2RiNmQ5Y2ExODA5NTk4YzFhODExYzlhN2VmMDcxNzIiLCJ1c2VySWQiOiI1NjMxNDA5MjYifQ==</vt:lpwstr>
  </property>
</Properties>
</file>